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7A" w:rsidRDefault="00F53E7A" w:rsidP="00F53E7A">
      <w:pPr>
        <w:rPr>
          <w:rFonts w:ascii="楷体" w:eastAsia="楷体" w:hAnsi="楷体" w:cs="Times New Roman" w:hint="eastAsia"/>
          <w:b/>
          <w:sz w:val="30"/>
          <w:szCs w:val="30"/>
        </w:rPr>
      </w:pPr>
      <w:r w:rsidRPr="00F53E7A">
        <w:rPr>
          <w:rFonts w:ascii="楷体" w:eastAsia="楷体" w:hAnsi="楷体" w:hint="eastAsia"/>
          <w:b/>
          <w:sz w:val="30"/>
          <w:szCs w:val="30"/>
        </w:rPr>
        <w:t>附表三：创新设计（毕业设计）</w:t>
      </w:r>
      <w:r w:rsidRPr="00F53E7A">
        <w:rPr>
          <w:rFonts w:ascii="楷体" w:eastAsia="楷体" w:hAnsi="楷体" w:cs="Times New Roman" w:hint="eastAsia"/>
          <w:b/>
          <w:sz w:val="30"/>
          <w:szCs w:val="30"/>
        </w:rPr>
        <w:t>课程</w:t>
      </w:r>
      <w:r w:rsidRPr="00F53E7A">
        <w:rPr>
          <w:rFonts w:ascii="楷体" w:eastAsia="楷体" w:hAnsi="楷体" w:cs="Times New Roman"/>
          <w:b/>
          <w:sz w:val="30"/>
          <w:szCs w:val="30"/>
        </w:rPr>
        <w:t>教学大纲</w:t>
      </w:r>
      <w:r w:rsidRPr="00F53E7A">
        <w:rPr>
          <w:rFonts w:ascii="楷体" w:eastAsia="楷体" w:hAnsi="楷体" w:cs="Times New Roman" w:hint="eastAsia"/>
          <w:b/>
          <w:sz w:val="30"/>
          <w:szCs w:val="30"/>
        </w:rPr>
        <w:t>（</w:t>
      </w:r>
      <w:r w:rsidRPr="00F53E7A">
        <w:rPr>
          <w:rFonts w:ascii="楷体" w:eastAsia="楷体" w:hAnsi="楷体" w:cs="Times New Roman"/>
          <w:b/>
          <w:sz w:val="30"/>
          <w:szCs w:val="30"/>
        </w:rPr>
        <w:t xml:space="preserve">Structure and </w:t>
      </w:r>
      <w:bookmarkStart w:id="0" w:name="OLE_LINK1"/>
      <w:bookmarkStart w:id="1" w:name="OLE_LINK2"/>
      <w:r w:rsidRPr="00F53E7A">
        <w:rPr>
          <w:rFonts w:ascii="楷体" w:eastAsia="楷体" w:hAnsi="楷体" w:cs="Times New Roman"/>
          <w:b/>
          <w:sz w:val="30"/>
          <w:szCs w:val="30"/>
        </w:rPr>
        <w:t>Syllabus</w:t>
      </w:r>
      <w:bookmarkEnd w:id="0"/>
      <w:bookmarkEnd w:id="1"/>
      <w:r w:rsidRPr="00F53E7A">
        <w:rPr>
          <w:rFonts w:ascii="楷体" w:eastAsia="楷体" w:hAnsi="楷体" w:cs="Times New Roman" w:hint="eastAsia"/>
          <w:b/>
          <w:sz w:val="30"/>
          <w:szCs w:val="30"/>
        </w:rPr>
        <w:t>）-CE503B（参考）</w:t>
      </w:r>
    </w:p>
    <w:p w:rsidR="00F53E7A" w:rsidRPr="00CC458D" w:rsidRDefault="00F53E7A" w:rsidP="00F53E7A">
      <w:pPr>
        <w:rPr>
          <w:rFonts w:ascii="楷体" w:eastAsia="楷体" w:hAnsi="楷体"/>
          <w:sz w:val="24"/>
          <w:szCs w:val="24"/>
        </w:rPr>
      </w:pPr>
      <w:r w:rsidRPr="00CC458D">
        <w:rPr>
          <w:rFonts w:ascii="微软雅黑" w:eastAsia="微软雅黑" w:hAnsi="宋体" w:cs="Times New Roman"/>
          <w:color w:val="000000"/>
          <w:kern w:val="0"/>
          <w:sz w:val="24"/>
          <w:szCs w:val="24"/>
        </w:rPr>
        <w:t>一、</w:t>
      </w:r>
      <w:r w:rsidRPr="00CC458D">
        <w:rPr>
          <w:rFonts w:ascii="楷体" w:eastAsia="楷体" w:hAnsi="楷体" w:cs="Times New Roman" w:hint="eastAsia"/>
          <w:b/>
          <w:color w:val="000000"/>
          <w:kern w:val="0"/>
          <w:sz w:val="24"/>
          <w:szCs w:val="24"/>
        </w:rPr>
        <w:t>课程基本信息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544"/>
        <w:gridCol w:w="1134"/>
        <w:gridCol w:w="2693"/>
      </w:tblGrid>
      <w:tr w:rsidR="00F53E7A" w:rsidRPr="00CC458D" w:rsidTr="002F656A">
        <w:trPr>
          <w:trHeight w:val="448"/>
        </w:trPr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开课单位</w:t>
            </w:r>
          </w:p>
        </w:tc>
        <w:tc>
          <w:tcPr>
            <w:tcW w:w="354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 xml:space="preserve"> 计算机工程系</w:t>
            </w:r>
          </w:p>
        </w:tc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2693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CE503B</w:t>
            </w:r>
          </w:p>
        </w:tc>
      </w:tr>
      <w:tr w:rsidR="00F53E7A" w:rsidRPr="00CC458D" w:rsidTr="002F656A"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544" w:type="dxa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创新设计（毕业设计）指导</w:t>
            </w:r>
          </w:p>
        </w:tc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英文名称</w:t>
            </w:r>
          </w:p>
        </w:tc>
        <w:tc>
          <w:tcPr>
            <w:tcW w:w="2693" w:type="dxa"/>
          </w:tcPr>
          <w:p w:rsidR="00F53E7A" w:rsidRPr="00CC458D" w:rsidRDefault="00F53E7A" w:rsidP="002F656A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C458D">
              <w:rPr>
                <w:rFonts w:ascii="Times New Roman" w:eastAsia="宋体" w:hAnsi="Times New Roman" w:cs="Times New Roman"/>
                <w:szCs w:val="24"/>
              </w:rPr>
              <w:t>Capstone course</w:t>
            </w:r>
          </w:p>
        </w:tc>
      </w:tr>
      <w:tr w:rsidR="00F53E7A" w:rsidRPr="00CC458D" w:rsidTr="002F656A">
        <w:trPr>
          <w:trHeight w:val="347"/>
        </w:trPr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Times New Roman"/>
                <w:b/>
                <w:bCs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3544" w:type="dxa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4"/>
              </w:rPr>
            </w:pPr>
          </w:p>
        </w:tc>
        <w:tc>
          <w:tcPr>
            <w:tcW w:w="1134" w:type="dxa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教学助理</w:t>
            </w:r>
          </w:p>
        </w:tc>
        <w:tc>
          <w:tcPr>
            <w:tcW w:w="2693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1"/>
              </w:rPr>
            </w:pPr>
          </w:p>
        </w:tc>
      </w:tr>
      <w:tr w:rsidR="00F53E7A" w:rsidRPr="00CC458D" w:rsidTr="002F656A">
        <w:trPr>
          <w:trHeight w:val="347"/>
        </w:trPr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7371" w:type="dxa"/>
            <w:gridSpan w:val="3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4"/>
              </w:rPr>
              <w:t>嵌入式计算系统；CPS；</w:t>
            </w:r>
            <w:proofErr w:type="gramStart"/>
            <w:r w:rsidRPr="00CC458D">
              <w:rPr>
                <w:rFonts w:ascii="楷体" w:eastAsia="楷体" w:hAnsi="楷体" w:cs="Times New Roman" w:hint="eastAsia"/>
                <w:b/>
                <w:szCs w:val="24"/>
              </w:rPr>
              <w:t>物联网络</w:t>
            </w:r>
            <w:proofErr w:type="gramEnd"/>
          </w:p>
        </w:tc>
      </w:tr>
      <w:tr w:rsidR="00F53E7A" w:rsidRPr="00CC458D" w:rsidTr="002F656A"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bookmarkStart w:id="2" w:name="_GoBack"/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354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ind w:firstLineChars="100" w:firstLine="211"/>
              <w:contextualSpacing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1"/>
              </w:rPr>
              <w:t xml:space="preserve">本科生、专业硕士必修课 </w:t>
            </w:r>
          </w:p>
        </w:tc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学</w:t>
            </w: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 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2693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3（硕）或</w:t>
            </w:r>
            <w:r w:rsidRPr="00CC458D"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  <w:t>12（</w:t>
            </w:r>
            <w:r w:rsidRPr="00CC458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本）</w:t>
            </w:r>
          </w:p>
        </w:tc>
      </w:tr>
      <w:bookmarkEnd w:id="2"/>
      <w:tr w:rsidR="00F53E7A" w:rsidRPr="00CC458D" w:rsidTr="002F656A"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总 学 时</w:t>
            </w:r>
          </w:p>
        </w:tc>
        <w:tc>
          <w:tcPr>
            <w:tcW w:w="3544" w:type="dxa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4"/>
              </w:rPr>
              <w:t>每周研讨一次，每次不少于90分钟</w:t>
            </w:r>
          </w:p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4"/>
              </w:rPr>
              <w:t>(每学年度</w:t>
            </w:r>
            <w:proofErr w:type="gramStart"/>
            <w:r w:rsidRPr="00CC458D">
              <w:rPr>
                <w:rFonts w:ascii="楷体" w:eastAsia="楷体" w:hAnsi="楷体" w:cs="Times New Roman" w:hint="eastAsia"/>
                <w:b/>
                <w:szCs w:val="24"/>
              </w:rPr>
              <w:t>研讨总</w:t>
            </w:r>
            <w:proofErr w:type="gramEnd"/>
            <w:r w:rsidRPr="00CC458D">
              <w:rPr>
                <w:rFonts w:ascii="楷体" w:eastAsia="楷体" w:hAnsi="楷体" w:cs="Times New Roman" w:hint="eastAsia"/>
                <w:b/>
                <w:szCs w:val="24"/>
              </w:rPr>
              <w:t>次数不少于20次)</w:t>
            </w:r>
          </w:p>
        </w:tc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先修课程</w:t>
            </w:r>
          </w:p>
        </w:tc>
        <w:tc>
          <w:tcPr>
            <w:tcW w:w="2693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修完全部计划课程</w:t>
            </w:r>
          </w:p>
        </w:tc>
      </w:tr>
      <w:tr w:rsidR="00F53E7A" w:rsidRPr="00CC458D" w:rsidTr="002F656A"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54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每周二上午</w:t>
            </w:r>
          </w:p>
        </w:tc>
        <w:tc>
          <w:tcPr>
            <w:tcW w:w="1134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2693" w:type="dxa"/>
          </w:tcPr>
          <w:p w:rsidR="00F53E7A" w:rsidRPr="00CC458D" w:rsidRDefault="00F53E7A" w:rsidP="002F656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计算机工程系317</w:t>
            </w:r>
          </w:p>
        </w:tc>
      </w:tr>
    </w:tbl>
    <w:p w:rsidR="00F53E7A" w:rsidRPr="00CC458D" w:rsidRDefault="00F53E7A" w:rsidP="00F53E7A">
      <w:pPr>
        <w:widowControl/>
        <w:shd w:val="clear" w:color="auto" w:fill="F6F6F6"/>
        <w:spacing w:before="100" w:beforeAutospacing="1" w:after="100" w:afterAutospacing="1" w:line="360" w:lineRule="auto"/>
        <w:contextualSpacing/>
        <w:jc w:val="left"/>
        <w:rPr>
          <w:rFonts w:ascii="楷体" w:eastAsia="楷体" w:hAnsi="楷体" w:cs="Times New Roman"/>
          <w:b/>
          <w:color w:val="000000"/>
          <w:kern w:val="0"/>
          <w:sz w:val="24"/>
          <w:szCs w:val="24"/>
        </w:rPr>
      </w:pPr>
      <w:r w:rsidRPr="00CC458D">
        <w:rPr>
          <w:rFonts w:ascii="楷体" w:eastAsia="楷体" w:hAnsi="楷体" w:cs="Times New Roman" w:hint="eastAsia"/>
          <w:b/>
          <w:color w:val="000000"/>
          <w:kern w:val="0"/>
          <w:sz w:val="24"/>
          <w:szCs w:val="24"/>
        </w:rPr>
        <w:t>二、课程教学目标（简记CT）</w:t>
      </w:r>
    </w:p>
    <w:p w:rsidR="00F53E7A" w:rsidRPr="00CC458D" w:rsidRDefault="00F53E7A" w:rsidP="00F53E7A">
      <w:pPr>
        <w:widowControl/>
        <w:shd w:val="clear" w:color="auto" w:fill="F6F6F6"/>
        <w:spacing w:before="100" w:beforeAutospacing="1" w:after="100" w:afterAutospacing="1" w:line="360" w:lineRule="auto"/>
        <w:contextualSpacing/>
        <w:jc w:val="left"/>
        <w:rPr>
          <w:rFonts w:ascii="楷体" w:eastAsia="楷体" w:hAnsi="楷体" w:cs="Times New Roman"/>
          <w:b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color w:val="000000"/>
          <w:kern w:val="0"/>
          <w:szCs w:val="21"/>
        </w:rPr>
        <w:t>创新的根本目的是创造价值，造福人类。</w:t>
      </w:r>
    </w:p>
    <w:p w:rsidR="00F53E7A" w:rsidRPr="00CC458D" w:rsidRDefault="00F53E7A" w:rsidP="00F53E7A">
      <w:pPr>
        <w:rPr>
          <w:rFonts w:ascii="楷体" w:eastAsia="楷体" w:hAnsi="楷体" w:cs="Times New Roman"/>
          <w:b/>
        </w:rPr>
      </w:pPr>
      <w:r w:rsidRPr="00CC458D">
        <w:rPr>
          <w:rFonts w:ascii="楷体" w:eastAsia="楷体" w:hAnsi="楷体" w:cs="Times New Roman" w:hint="eastAsia"/>
          <w:b/>
        </w:rPr>
        <w:t xml:space="preserve"> CT</w:t>
      </w:r>
      <w:r w:rsidRPr="00CC458D">
        <w:rPr>
          <w:rFonts w:ascii="楷体" w:eastAsia="楷体" w:hAnsi="楷体" w:cs="Times New Roman"/>
          <w:b/>
        </w:rPr>
        <w:t>1：</w:t>
      </w:r>
      <w:r w:rsidRPr="00CC458D">
        <w:rPr>
          <w:rFonts w:ascii="楷体" w:eastAsia="楷体" w:hAnsi="楷体" w:cs="Times New Roman" w:hint="eastAsia"/>
          <w:b/>
        </w:rPr>
        <w:t>嵌入式计算与CPS技术前沿动态，相关产业现状与趋势。</w:t>
      </w:r>
    </w:p>
    <w:p w:rsidR="00F53E7A" w:rsidRPr="00CC458D" w:rsidRDefault="00F53E7A" w:rsidP="00F53E7A">
      <w:pPr>
        <w:rPr>
          <w:rFonts w:ascii="楷体" w:eastAsia="楷体" w:hAnsi="楷体" w:cs="Times New Roman"/>
          <w:b/>
        </w:rPr>
      </w:pPr>
      <w:r w:rsidRPr="00CC458D">
        <w:rPr>
          <w:rFonts w:ascii="楷体" w:eastAsia="楷体" w:hAnsi="楷体" w:cs="Times New Roman" w:hint="eastAsia"/>
          <w:b/>
        </w:rPr>
        <w:t xml:space="preserve"> CT2：分析相关研究现状和挑战，发现有创新和实用意义的课题。</w:t>
      </w:r>
    </w:p>
    <w:p w:rsidR="00F53E7A" w:rsidRPr="00CC458D" w:rsidRDefault="00F53E7A" w:rsidP="00F53E7A">
      <w:pPr>
        <w:rPr>
          <w:rFonts w:ascii="楷体" w:eastAsia="楷体" w:hAnsi="楷体" w:cs="Times New Roman"/>
          <w:b/>
        </w:rPr>
      </w:pPr>
      <w:r w:rsidRPr="00CC458D">
        <w:rPr>
          <w:rFonts w:ascii="楷体" w:eastAsia="楷体" w:hAnsi="楷体" w:cs="Times New Roman" w:hint="eastAsia"/>
          <w:b/>
        </w:rPr>
        <w:t xml:space="preserve"> CT3：规范、标准、工具与平台。</w:t>
      </w:r>
    </w:p>
    <w:p w:rsidR="00F53E7A" w:rsidRPr="00CC458D" w:rsidRDefault="00F53E7A" w:rsidP="00F53E7A">
      <w:pPr>
        <w:rPr>
          <w:rFonts w:ascii="楷体" w:eastAsia="楷体" w:hAnsi="楷体" w:cs="Times New Roman"/>
          <w:b/>
        </w:rPr>
      </w:pPr>
      <w:r w:rsidRPr="00CC458D">
        <w:rPr>
          <w:rFonts w:ascii="楷体" w:eastAsia="楷体" w:hAnsi="楷体" w:cs="Times New Roman" w:hint="eastAsia"/>
          <w:b/>
        </w:rPr>
        <w:t xml:space="preserve"> CT4：技术路线与项目计划。</w:t>
      </w:r>
    </w:p>
    <w:p w:rsidR="00F53E7A" w:rsidRPr="00CC458D" w:rsidRDefault="00F53E7A" w:rsidP="00F53E7A">
      <w:pPr>
        <w:rPr>
          <w:rFonts w:ascii="楷体" w:eastAsia="楷体" w:hAnsi="楷体" w:cs="Times New Roman"/>
          <w:b/>
        </w:rPr>
      </w:pPr>
      <w:r w:rsidRPr="00CC458D">
        <w:rPr>
          <w:rFonts w:ascii="楷体" w:eastAsia="楷体" w:hAnsi="楷体" w:cs="Times New Roman" w:hint="eastAsia"/>
          <w:b/>
        </w:rPr>
        <w:t xml:space="preserve"> CT5：怎样撰写设计说明书（开题报告）。</w:t>
      </w:r>
    </w:p>
    <w:p w:rsidR="00F53E7A" w:rsidRPr="00CC458D" w:rsidRDefault="00F53E7A" w:rsidP="00F53E7A">
      <w:pPr>
        <w:rPr>
          <w:rFonts w:ascii="楷体" w:eastAsia="楷体" w:hAnsi="楷体" w:cs="Times New Roman"/>
          <w:b/>
        </w:rPr>
      </w:pPr>
      <w:r w:rsidRPr="00CC458D">
        <w:rPr>
          <w:rFonts w:ascii="楷体" w:eastAsia="楷体" w:hAnsi="楷体" w:cs="Times New Roman" w:hint="eastAsia"/>
          <w:b/>
        </w:rPr>
        <w:t xml:space="preserve"> CT6：开发过程中的问题与解决方案。</w:t>
      </w:r>
    </w:p>
    <w:p w:rsidR="00F53E7A" w:rsidRPr="00CC458D" w:rsidRDefault="00F53E7A" w:rsidP="00F53E7A">
      <w:pPr>
        <w:rPr>
          <w:rFonts w:ascii="楷体" w:eastAsia="楷体" w:hAnsi="楷体" w:cs="Times New Roman"/>
          <w:b/>
        </w:rPr>
      </w:pPr>
      <w:r w:rsidRPr="00CC458D">
        <w:rPr>
          <w:rFonts w:ascii="楷体" w:eastAsia="楷体" w:hAnsi="楷体" w:cs="Times New Roman" w:hint="eastAsia"/>
          <w:b/>
        </w:rPr>
        <w:t xml:space="preserve"> CT7：怎样撰写专利申请（本科生不做要求）与技术报告（学位论文）。</w:t>
      </w:r>
    </w:p>
    <w:p w:rsidR="00F53E7A" w:rsidRPr="00CC458D" w:rsidRDefault="00F53E7A" w:rsidP="00F53E7A">
      <w:pPr>
        <w:rPr>
          <w:rFonts w:ascii="楷体" w:eastAsia="楷体" w:hAnsi="楷体" w:cs="Times New Roman"/>
          <w:b/>
        </w:rPr>
      </w:pPr>
      <w:r w:rsidRPr="00CC458D">
        <w:rPr>
          <w:rFonts w:ascii="楷体" w:eastAsia="楷体" w:hAnsi="楷体" w:cs="Times New Roman" w:hint="eastAsia"/>
          <w:b/>
        </w:rPr>
        <w:t>CT8：如何准备答辩（预答辩）。</w:t>
      </w:r>
    </w:p>
    <w:p w:rsidR="00F53E7A" w:rsidRPr="00CC458D" w:rsidRDefault="00F53E7A" w:rsidP="00F53E7A">
      <w:pPr>
        <w:rPr>
          <w:rFonts w:ascii="楷体" w:eastAsia="楷体" w:hAnsi="楷体" w:cs="Times New Roman"/>
          <w:b/>
          <w:sz w:val="24"/>
          <w:szCs w:val="24"/>
        </w:rPr>
      </w:pPr>
      <w:r w:rsidRPr="00CC458D">
        <w:rPr>
          <w:rFonts w:ascii="楷体" w:eastAsia="楷体" w:hAnsi="楷体" w:cs="Times New Roman" w:hint="eastAsia"/>
          <w:b/>
          <w:sz w:val="24"/>
          <w:szCs w:val="24"/>
        </w:rPr>
        <w:t>三、毕业要求（简记GA，本科生按本科毕业要求）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GA1：创新应用数学、科学、工程和专业知识的能力。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GA2：具有创新及批判性思维，分析和解决复杂工程问题的能力。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GA3：创新设计复杂系统、组件或软件，并能够在设计环节中考虑社会、健康、安全、法律、文化以及环境等因素。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GA4：创新设计并进行实验，分析、解释与评估实验结果的能力。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GA5：创新运用专业技能和现代工具解决复杂工程问题的能力。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GA6：了解工程解决方案对社会、健康、安全、法律以及文化的影响，并理解应承担的责任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GA7：能够理解和评价针对复杂工程问题的专业工程实践对环境、社会可持续发展的影响。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 xml:space="preserve">GA8：具有人文社会科学素养、社会责任感，能够在工程实践中理解并遵守工程职业道德和规范，履行责任。 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GA9：能够在多学科背景下的团队中承担个体、团队成员以及负责人的角色。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GA10：具有策划及执行研究计划、撰写研究报告及总结研究成果的能力，能够就复杂工程问题与业界同行及社会公众进行有效沟通和交流。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lastRenderedPageBreak/>
        <w:t>GA11:具有国际视野，能够在跨文化背景下进行沟通和交流。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GA12:理解并掌握工程管理原理与经济决策方法，并能在多学科环境中应用。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GA13:具有终身学习和适应发展的能力。</w:t>
      </w:r>
    </w:p>
    <w:p w:rsidR="00F53E7A" w:rsidRPr="00CC458D" w:rsidRDefault="00F53E7A" w:rsidP="00F53E7A">
      <w:pPr>
        <w:widowControl/>
        <w:kinsoku w:val="0"/>
        <w:overflowPunct w:val="0"/>
        <w:spacing w:before="58"/>
        <w:jc w:val="left"/>
        <w:textAlignment w:val="baseline"/>
        <w:rPr>
          <w:rFonts w:ascii="楷体" w:eastAsia="楷体" w:hAnsi="楷体" w:cs="Times New Roman"/>
          <w:b/>
          <w:bCs/>
          <w:color w:val="000000"/>
          <w:kern w:val="0"/>
          <w:sz w:val="24"/>
          <w:szCs w:val="24"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 w:val="24"/>
          <w:szCs w:val="24"/>
        </w:rPr>
        <w:t>四、教学目标与毕业要求关联表（本科生按本科毕业要求）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648"/>
        <w:gridCol w:w="534"/>
        <w:gridCol w:w="648"/>
        <w:gridCol w:w="565"/>
        <w:gridCol w:w="565"/>
        <w:gridCol w:w="565"/>
        <w:gridCol w:w="565"/>
        <w:gridCol w:w="565"/>
        <w:gridCol w:w="700"/>
        <w:gridCol w:w="705"/>
        <w:gridCol w:w="640"/>
        <w:gridCol w:w="640"/>
        <w:gridCol w:w="640"/>
      </w:tblGrid>
      <w:tr w:rsidR="00F53E7A" w:rsidRPr="00CC458D" w:rsidTr="002F656A">
        <w:trPr>
          <w:trHeight w:val="501"/>
        </w:trPr>
        <w:tc>
          <w:tcPr>
            <w:tcW w:w="1239" w:type="dxa"/>
            <w:tcBorders>
              <w:tl2br w:val="single" w:sz="4" w:space="0" w:color="auto"/>
            </w:tcBorders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毕业要求</w:t>
            </w:r>
            <w:r w:rsidRPr="00CC458D">
              <w:rPr>
                <w:rFonts w:ascii="楷体" w:eastAsia="楷体" w:hAnsi="楷体" w:cs="Times New Roman" w:hint="eastAsia"/>
                <w:b/>
                <w:sz w:val="15"/>
                <w:szCs w:val="15"/>
              </w:rPr>
              <w:t>课程目标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GA1</w:t>
            </w:r>
          </w:p>
        </w:tc>
        <w:tc>
          <w:tcPr>
            <w:tcW w:w="534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GA2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GA3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GA4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GA5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GA6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GA7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GA8</w:t>
            </w:r>
          </w:p>
        </w:tc>
        <w:tc>
          <w:tcPr>
            <w:tcW w:w="70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GA9</w:t>
            </w:r>
          </w:p>
        </w:tc>
        <w:tc>
          <w:tcPr>
            <w:tcW w:w="70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GA10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GA11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GA12</w:t>
            </w:r>
          </w:p>
        </w:tc>
        <w:tc>
          <w:tcPr>
            <w:tcW w:w="640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Cs w:val="21"/>
              </w:rPr>
              <w:t>GA13</w:t>
            </w:r>
          </w:p>
        </w:tc>
      </w:tr>
      <w:tr w:rsidR="00F53E7A" w:rsidRPr="00CC458D" w:rsidTr="002F656A">
        <w:tc>
          <w:tcPr>
            <w:tcW w:w="1239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ind w:firstLineChars="100" w:firstLine="241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宋体" w:hint="eastAsia"/>
                <w:b/>
                <w:kern w:val="0"/>
                <w:sz w:val="24"/>
              </w:rPr>
              <w:t>CT</w:t>
            </w:r>
            <w:r w:rsidRPr="00CC458D">
              <w:rPr>
                <w:rFonts w:ascii="楷体" w:eastAsia="楷体" w:hAnsi="楷体" w:cs="宋体"/>
                <w:b/>
                <w:kern w:val="0"/>
                <w:sz w:val="24"/>
              </w:rPr>
              <w:t>1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4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70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</w:tr>
      <w:tr w:rsidR="00F53E7A" w:rsidRPr="00CC458D" w:rsidTr="002F656A">
        <w:tc>
          <w:tcPr>
            <w:tcW w:w="1239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ind w:firstLineChars="100" w:firstLine="241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宋体" w:hint="eastAsia"/>
                <w:b/>
                <w:kern w:val="0"/>
                <w:sz w:val="24"/>
              </w:rPr>
              <w:t>CT2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34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70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</w:tr>
      <w:tr w:rsidR="00F53E7A" w:rsidRPr="00CC458D" w:rsidTr="002F656A">
        <w:tc>
          <w:tcPr>
            <w:tcW w:w="1239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ind w:firstLineChars="100" w:firstLine="241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宋体" w:hint="eastAsia"/>
                <w:b/>
                <w:kern w:val="0"/>
                <w:sz w:val="24"/>
              </w:rPr>
              <w:t>CT3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34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</w:tr>
      <w:tr w:rsidR="00F53E7A" w:rsidRPr="00CC458D" w:rsidTr="002F656A">
        <w:tc>
          <w:tcPr>
            <w:tcW w:w="1239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ind w:firstLineChars="100" w:firstLine="241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宋体" w:hint="eastAsia"/>
                <w:b/>
                <w:kern w:val="0"/>
                <w:sz w:val="24"/>
              </w:rPr>
              <w:t>CT4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34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70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</w:tr>
      <w:tr w:rsidR="00F53E7A" w:rsidRPr="00CC458D" w:rsidTr="002F656A">
        <w:tc>
          <w:tcPr>
            <w:tcW w:w="1239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ind w:firstLineChars="100" w:firstLine="241"/>
              <w:jc w:val="left"/>
              <w:textAlignment w:val="baseline"/>
              <w:rPr>
                <w:rFonts w:ascii="楷体" w:eastAsia="楷体" w:hAnsi="楷体" w:cs="宋体"/>
                <w:b/>
                <w:kern w:val="0"/>
                <w:sz w:val="24"/>
              </w:rPr>
            </w:pPr>
            <w:r w:rsidRPr="00CC458D">
              <w:rPr>
                <w:rFonts w:ascii="楷体" w:eastAsia="楷体" w:hAnsi="楷体" w:cs="宋体" w:hint="eastAsia"/>
                <w:b/>
                <w:kern w:val="0"/>
                <w:sz w:val="24"/>
              </w:rPr>
              <w:t>CT5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4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</w:tr>
      <w:tr w:rsidR="00F53E7A" w:rsidRPr="00CC458D" w:rsidTr="002F656A">
        <w:tc>
          <w:tcPr>
            <w:tcW w:w="1239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ind w:firstLineChars="100" w:firstLine="241"/>
              <w:jc w:val="left"/>
              <w:textAlignment w:val="baseline"/>
              <w:rPr>
                <w:rFonts w:ascii="楷体" w:eastAsia="楷体" w:hAnsi="楷体" w:cs="宋体"/>
                <w:b/>
                <w:kern w:val="0"/>
                <w:sz w:val="24"/>
              </w:rPr>
            </w:pPr>
            <w:r w:rsidRPr="00CC458D">
              <w:rPr>
                <w:rFonts w:ascii="楷体" w:eastAsia="楷体" w:hAnsi="楷体" w:cs="宋体" w:hint="eastAsia"/>
                <w:b/>
                <w:kern w:val="0"/>
                <w:sz w:val="24"/>
              </w:rPr>
              <w:t>CT6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34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70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70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</w:tr>
      <w:tr w:rsidR="00F53E7A" w:rsidRPr="00CC458D" w:rsidTr="002F656A">
        <w:tc>
          <w:tcPr>
            <w:tcW w:w="1239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ind w:firstLineChars="100" w:firstLine="241"/>
              <w:jc w:val="left"/>
              <w:textAlignment w:val="baseline"/>
              <w:rPr>
                <w:rFonts w:ascii="楷体" w:eastAsia="楷体" w:hAnsi="楷体" w:cs="宋体"/>
                <w:b/>
                <w:kern w:val="0"/>
                <w:sz w:val="24"/>
              </w:rPr>
            </w:pPr>
            <w:r w:rsidRPr="00CC458D">
              <w:rPr>
                <w:rFonts w:ascii="楷体" w:eastAsia="楷体" w:hAnsi="楷体" w:cs="宋体" w:hint="eastAsia"/>
                <w:b/>
                <w:kern w:val="0"/>
                <w:sz w:val="24"/>
              </w:rPr>
              <w:t>CT7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4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Calibri" w:eastAsia="楷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</w:tr>
      <w:tr w:rsidR="00F53E7A" w:rsidRPr="00CC458D" w:rsidTr="002F656A">
        <w:tc>
          <w:tcPr>
            <w:tcW w:w="1239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ind w:firstLineChars="100" w:firstLine="241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宋体" w:hint="eastAsia"/>
                <w:b/>
                <w:kern w:val="0"/>
                <w:sz w:val="24"/>
              </w:rPr>
              <w:t>CT8</w:t>
            </w: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  <w:tc>
          <w:tcPr>
            <w:tcW w:w="640" w:type="dxa"/>
            <w:shd w:val="clear" w:color="auto" w:fill="auto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</w:tcPr>
          <w:p w:rsidR="00F53E7A" w:rsidRPr="00CC458D" w:rsidRDefault="00F53E7A" w:rsidP="002F656A">
            <w:pPr>
              <w:widowControl/>
              <w:kinsoku w:val="0"/>
              <w:overflowPunct w:val="0"/>
              <w:spacing w:before="58"/>
              <w:jc w:val="left"/>
              <w:textAlignment w:val="baseline"/>
              <w:rPr>
                <w:rFonts w:ascii="楷体" w:eastAsia="楷体" w:hAnsi="楷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○</w:t>
            </w:r>
          </w:p>
        </w:tc>
      </w:tr>
    </w:tbl>
    <w:p w:rsidR="00F53E7A" w:rsidRPr="00CC458D" w:rsidRDefault="00F53E7A" w:rsidP="00F53E7A">
      <w:pPr>
        <w:rPr>
          <w:rFonts w:ascii="楷体" w:eastAsia="楷体" w:hAnsi="楷体" w:cs="Times New Roman"/>
          <w:b/>
          <w:bCs/>
          <w:color w:val="000000"/>
          <w:kern w:val="0"/>
          <w:sz w:val="24"/>
          <w:szCs w:val="24"/>
        </w:rPr>
      </w:pPr>
      <w:r w:rsidRPr="00CC458D">
        <w:rPr>
          <w:rFonts w:ascii="楷体" w:eastAsia="楷体" w:hAnsi="楷体" w:cs="Times New Roman" w:hint="eastAsia"/>
          <w:b/>
          <w:sz w:val="24"/>
          <w:szCs w:val="24"/>
        </w:rPr>
        <w:t>五、</w:t>
      </w: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 w:val="24"/>
          <w:szCs w:val="24"/>
        </w:rPr>
        <w:t>课程进程表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627"/>
        <w:gridCol w:w="2268"/>
        <w:gridCol w:w="3827"/>
      </w:tblGrid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周</w:t>
            </w:r>
          </w:p>
        </w:tc>
        <w:tc>
          <w:tcPr>
            <w:tcW w:w="2627" w:type="dxa"/>
            <w:shd w:val="clear" w:color="auto" w:fill="auto"/>
          </w:tcPr>
          <w:p w:rsidR="00F53E7A" w:rsidRPr="00CC458D" w:rsidRDefault="00F53E7A" w:rsidP="002F656A">
            <w:pPr>
              <w:ind w:firstLineChars="200" w:firstLine="422"/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研讨内容</w:t>
            </w:r>
          </w:p>
        </w:tc>
        <w:tc>
          <w:tcPr>
            <w:tcW w:w="2268" w:type="dxa"/>
            <w:shd w:val="clear" w:color="auto" w:fill="auto"/>
          </w:tcPr>
          <w:p w:rsidR="00F53E7A" w:rsidRPr="00CC458D" w:rsidRDefault="00F53E7A" w:rsidP="002F656A">
            <w:pPr>
              <w:ind w:firstLineChars="200" w:firstLine="422"/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教学目标</w:t>
            </w:r>
          </w:p>
        </w:tc>
        <w:tc>
          <w:tcPr>
            <w:tcW w:w="3827" w:type="dxa"/>
            <w:shd w:val="clear" w:color="auto" w:fill="auto"/>
          </w:tcPr>
          <w:p w:rsidR="00F53E7A" w:rsidRPr="00CC458D" w:rsidRDefault="00F53E7A" w:rsidP="002F656A">
            <w:pPr>
              <w:ind w:firstLineChars="400" w:firstLine="843"/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具体任务</w:t>
            </w: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企业实习或指定开发项目、文献阅读。</w:t>
            </w:r>
          </w:p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企业实习（一般指研究生</w:t>
            </w:r>
            <w:r w:rsidRPr="00CC458D">
              <w:rPr>
                <w:rFonts w:ascii="楷体" w:eastAsia="楷体" w:hAnsi="楷体" w:cs="Times New Roman"/>
                <w:b/>
                <w:szCs w:val="21"/>
              </w:rPr>
              <w:t>）</w:t>
            </w: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可从暑假开始。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</w:rPr>
            </w:pPr>
            <w:r w:rsidRPr="00CC458D">
              <w:rPr>
                <w:rFonts w:ascii="楷体" w:eastAsia="楷体" w:hAnsi="楷体" w:cs="Times New Roman" w:hint="eastAsia"/>
                <w:b/>
              </w:rPr>
              <w:t>1、嵌入式计算与CPS技术前沿动态，相关产业现状与趋势。</w:t>
            </w:r>
          </w:p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</w:rPr>
            </w:pPr>
            <w:r w:rsidRPr="00CC458D">
              <w:rPr>
                <w:rFonts w:ascii="楷体" w:eastAsia="楷体" w:hAnsi="楷体" w:cs="Times New Roman" w:hint="eastAsia"/>
                <w:b/>
              </w:rPr>
              <w:t>2、分析相关研究现状和挑战，发现有创新和实用意义的课题。</w:t>
            </w:r>
          </w:p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</w:rPr>
            </w:pPr>
            <w:r w:rsidRPr="00CC458D">
              <w:rPr>
                <w:rFonts w:ascii="楷体" w:eastAsia="楷体" w:hAnsi="楷体" w:cs="Times New Roman" w:hint="eastAsia"/>
                <w:b/>
              </w:rPr>
              <w:t>3、规范、标准、工具与平台。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1、每周五上午12点前提交报告（PPT形式）。</w:t>
            </w:r>
          </w:p>
          <w:p w:rsidR="00F53E7A" w:rsidRPr="00CC458D" w:rsidRDefault="00F53E7A" w:rsidP="00F53E7A">
            <w:pPr>
              <w:numPr>
                <w:ilvl w:val="0"/>
                <w:numId w:val="2"/>
              </w:num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撰写综述报告，最低要</w:t>
            </w:r>
          </w:p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求是在院学术网站上发表，一般应在5000字以上篇幅。</w:t>
            </w:r>
          </w:p>
          <w:p w:rsidR="00F53E7A" w:rsidRPr="00CC458D" w:rsidRDefault="00F53E7A" w:rsidP="00F53E7A">
            <w:pPr>
              <w:numPr>
                <w:ilvl w:val="0"/>
                <w:numId w:val="2"/>
              </w:num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搭建实验平台或开发环境</w:t>
            </w: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2</w:t>
            </w:r>
          </w:p>
        </w:tc>
        <w:tc>
          <w:tcPr>
            <w:tcW w:w="2627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53E7A" w:rsidRPr="00CC458D" w:rsidRDefault="00F53E7A" w:rsidP="00F53E7A">
            <w:pPr>
              <w:numPr>
                <w:ilvl w:val="0"/>
                <w:numId w:val="1"/>
              </w:num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3</w:t>
            </w:r>
          </w:p>
        </w:tc>
        <w:tc>
          <w:tcPr>
            <w:tcW w:w="2627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53E7A" w:rsidRPr="00CC458D" w:rsidRDefault="00F53E7A" w:rsidP="00F53E7A">
            <w:pPr>
              <w:numPr>
                <w:ilvl w:val="0"/>
                <w:numId w:val="1"/>
              </w:num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4</w:t>
            </w:r>
          </w:p>
        </w:tc>
        <w:tc>
          <w:tcPr>
            <w:tcW w:w="2627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53E7A" w:rsidRPr="00CC458D" w:rsidRDefault="00F53E7A" w:rsidP="00F53E7A">
            <w:pPr>
              <w:numPr>
                <w:ilvl w:val="0"/>
                <w:numId w:val="1"/>
              </w:num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5</w:t>
            </w:r>
          </w:p>
        </w:tc>
        <w:tc>
          <w:tcPr>
            <w:tcW w:w="2627" w:type="dxa"/>
            <w:vMerge w:val="restart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文献阅读、熟悉业界相关规范与标准、选择工具与开发平台。</w:t>
            </w:r>
          </w:p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也可与企业实习同步。</w:t>
            </w:r>
          </w:p>
        </w:tc>
        <w:tc>
          <w:tcPr>
            <w:tcW w:w="2268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53E7A" w:rsidRPr="00CC458D" w:rsidRDefault="00F53E7A" w:rsidP="00F53E7A">
            <w:pPr>
              <w:numPr>
                <w:ilvl w:val="0"/>
                <w:numId w:val="1"/>
              </w:num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6</w:t>
            </w:r>
          </w:p>
        </w:tc>
        <w:tc>
          <w:tcPr>
            <w:tcW w:w="2627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53E7A" w:rsidRPr="00CC458D" w:rsidRDefault="00F53E7A" w:rsidP="00F53E7A">
            <w:pPr>
              <w:numPr>
                <w:ilvl w:val="0"/>
                <w:numId w:val="1"/>
              </w:num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7</w:t>
            </w:r>
          </w:p>
        </w:tc>
        <w:tc>
          <w:tcPr>
            <w:tcW w:w="2627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53E7A" w:rsidRPr="00CC458D" w:rsidRDefault="00F53E7A" w:rsidP="00F53E7A">
            <w:pPr>
              <w:numPr>
                <w:ilvl w:val="0"/>
                <w:numId w:val="1"/>
              </w:num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8</w:t>
            </w:r>
          </w:p>
        </w:tc>
        <w:tc>
          <w:tcPr>
            <w:tcW w:w="2627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53E7A" w:rsidRPr="00CC458D" w:rsidRDefault="00F53E7A" w:rsidP="00F53E7A">
            <w:pPr>
              <w:numPr>
                <w:ilvl w:val="0"/>
                <w:numId w:val="1"/>
              </w:num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9</w:t>
            </w:r>
          </w:p>
        </w:tc>
        <w:tc>
          <w:tcPr>
            <w:tcW w:w="2627" w:type="dxa"/>
            <w:vMerge w:val="restart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设计方案研讨</w:t>
            </w:r>
          </w:p>
        </w:tc>
        <w:tc>
          <w:tcPr>
            <w:tcW w:w="226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</w:rPr>
              <w:t>技术路线与项目计划。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53E7A" w:rsidRPr="00CC458D" w:rsidRDefault="00F53E7A" w:rsidP="00F53E7A">
            <w:pPr>
              <w:numPr>
                <w:ilvl w:val="0"/>
                <w:numId w:val="3"/>
              </w:num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每周五上午12点前提交报告（PPT</w:t>
            </w:r>
          </w:p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形式）。</w:t>
            </w:r>
          </w:p>
          <w:p w:rsidR="00F53E7A" w:rsidRPr="00CC458D" w:rsidRDefault="00F53E7A" w:rsidP="00F53E7A">
            <w:pPr>
              <w:numPr>
                <w:ilvl w:val="0"/>
                <w:numId w:val="3"/>
              </w:num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撰写设计说明书（开题报告）。</w:t>
            </w: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10</w:t>
            </w:r>
          </w:p>
        </w:tc>
        <w:tc>
          <w:tcPr>
            <w:tcW w:w="2627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</w:rPr>
            </w:pPr>
            <w:r w:rsidRPr="00CC458D">
              <w:rPr>
                <w:rFonts w:ascii="楷体" w:eastAsia="楷体" w:hAnsi="楷体" w:cs="Times New Roman" w:hint="eastAsia"/>
                <w:b/>
              </w:rPr>
              <w:t>怎样撰写设计说明书（开题报告）。</w:t>
            </w:r>
          </w:p>
        </w:tc>
        <w:tc>
          <w:tcPr>
            <w:tcW w:w="3827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11</w:t>
            </w:r>
          </w:p>
        </w:tc>
        <w:tc>
          <w:tcPr>
            <w:tcW w:w="2627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  <w:tr w:rsidR="00F53E7A" w:rsidRPr="00CC458D" w:rsidTr="002F656A">
        <w:tc>
          <w:tcPr>
            <w:tcW w:w="458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12</w:t>
            </w:r>
          </w:p>
        </w:tc>
        <w:tc>
          <w:tcPr>
            <w:tcW w:w="8722" w:type="dxa"/>
            <w:gridSpan w:val="3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 xml:space="preserve">                      开题报告</w:t>
            </w:r>
          </w:p>
        </w:tc>
      </w:tr>
      <w:tr w:rsidR="00F53E7A" w:rsidRPr="00CC458D" w:rsidTr="002F656A">
        <w:trPr>
          <w:trHeight w:val="485"/>
        </w:trPr>
        <w:tc>
          <w:tcPr>
            <w:tcW w:w="5353" w:type="dxa"/>
            <w:gridSpan w:val="3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4"/>
              </w:rPr>
              <w:t>从</w:t>
            </w:r>
            <w:r w:rsidRPr="00CC458D">
              <w:rPr>
                <w:rFonts w:ascii="楷体" w:eastAsia="楷体" w:hAnsi="楷体" w:cs="Times New Roman"/>
                <w:b/>
                <w:szCs w:val="24"/>
              </w:rPr>
              <w:t>13</w:t>
            </w:r>
            <w:r w:rsidRPr="00CC458D">
              <w:rPr>
                <w:rFonts w:ascii="楷体" w:eastAsia="楷体" w:hAnsi="楷体" w:cs="Times New Roman" w:hint="eastAsia"/>
                <w:b/>
                <w:szCs w:val="24"/>
              </w:rPr>
              <w:t>周到下学期5月底</w:t>
            </w:r>
            <w:r w:rsidRPr="00CC458D">
              <w:rPr>
                <w:rFonts w:ascii="Times New Roman" w:eastAsia="宋体" w:hAnsi="Times New Roman" w:cs="Times New Roman" w:hint="eastAsia"/>
                <w:szCs w:val="24"/>
              </w:rPr>
              <w:t>，</w:t>
            </w: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开发过程中的问题与解决方案。</w:t>
            </w:r>
          </w:p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本科生提前一个月。</w:t>
            </w:r>
          </w:p>
        </w:tc>
        <w:tc>
          <w:tcPr>
            <w:tcW w:w="3827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每周五上午12点前提交报告（PPT</w:t>
            </w:r>
          </w:p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形式）。</w:t>
            </w:r>
          </w:p>
        </w:tc>
      </w:tr>
      <w:tr w:rsidR="00F53E7A" w:rsidRPr="00CC458D" w:rsidTr="002F656A">
        <w:trPr>
          <w:trHeight w:val="692"/>
        </w:trPr>
        <w:tc>
          <w:tcPr>
            <w:tcW w:w="5353" w:type="dxa"/>
            <w:gridSpan w:val="3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6-7</w:t>
            </w:r>
            <w:r w:rsidRPr="00CC458D">
              <w:rPr>
                <w:rFonts w:ascii="楷体" w:eastAsia="楷体" w:hAnsi="楷体" w:cs="Times New Roman" w:hint="eastAsia"/>
                <w:b/>
              </w:rPr>
              <w:t>月，撰写专利申请与技术报告（学位论文），如何准备答辩（预答辩）。</w:t>
            </w: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本科生提前一个月。</w:t>
            </w:r>
          </w:p>
        </w:tc>
        <w:tc>
          <w:tcPr>
            <w:tcW w:w="3827" w:type="dxa"/>
            <w:shd w:val="clear" w:color="auto" w:fill="auto"/>
          </w:tcPr>
          <w:p w:rsidR="00F53E7A" w:rsidRPr="00CC458D" w:rsidRDefault="00F53E7A" w:rsidP="002F656A">
            <w:pPr>
              <w:rPr>
                <w:rFonts w:ascii="楷体" w:eastAsia="楷体" w:hAnsi="楷体" w:cs="Times New Roman"/>
                <w:b/>
                <w:szCs w:val="21"/>
              </w:rPr>
            </w:pPr>
            <w:r w:rsidRPr="00CC458D">
              <w:rPr>
                <w:rFonts w:ascii="楷体" w:eastAsia="楷体" w:hAnsi="楷体" w:cs="Times New Roman" w:hint="eastAsia"/>
                <w:b/>
                <w:szCs w:val="21"/>
              </w:rPr>
              <w:t>撰写学位论文，答辩</w:t>
            </w:r>
          </w:p>
        </w:tc>
      </w:tr>
    </w:tbl>
    <w:p w:rsidR="00F53E7A" w:rsidRPr="00CC458D" w:rsidRDefault="00F53E7A" w:rsidP="00F53E7A">
      <w:pPr>
        <w:rPr>
          <w:rFonts w:ascii="楷体" w:eastAsia="楷体" w:hAnsi="楷体" w:cs="Times New Roman"/>
          <w:b/>
        </w:rPr>
      </w:pP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 w:val="24"/>
          <w:szCs w:val="24"/>
        </w:rPr>
        <w:t>六、考核与记分规则</w:t>
      </w:r>
    </w:p>
    <w:p w:rsidR="00F53E7A" w:rsidRPr="00CC458D" w:rsidRDefault="00F53E7A" w:rsidP="00F53E7A">
      <w:pPr>
        <w:widowControl/>
        <w:shd w:val="clear" w:color="auto" w:fill="F6F6F6"/>
        <w:spacing w:before="100" w:beforeAutospacing="1" w:after="100" w:afterAutospacing="1"/>
        <w:ind w:firstLineChars="100" w:firstLine="211"/>
        <w:contextualSpacing/>
        <w:jc w:val="left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/>
          <w:b/>
          <w:bCs/>
          <w:color w:val="000000"/>
          <w:kern w:val="0"/>
          <w:szCs w:val="21"/>
        </w:rPr>
        <w:t>1、</w:t>
      </w: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每周报告，40%</w:t>
      </w:r>
    </w:p>
    <w:p w:rsidR="00F53E7A" w:rsidRPr="00CC458D" w:rsidRDefault="00F53E7A" w:rsidP="00F53E7A">
      <w:pPr>
        <w:widowControl/>
        <w:shd w:val="clear" w:color="auto" w:fill="F6F6F6"/>
        <w:spacing w:before="100" w:beforeAutospacing="1" w:after="100" w:afterAutospacing="1"/>
        <w:ind w:firstLineChars="100" w:firstLine="211"/>
        <w:contextualSpacing/>
        <w:jc w:val="left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/>
          <w:b/>
          <w:bCs/>
          <w:color w:val="000000"/>
          <w:kern w:val="0"/>
          <w:szCs w:val="21"/>
        </w:rPr>
        <w:t>2、</w:t>
      </w: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综述报告，10%</w:t>
      </w:r>
    </w:p>
    <w:p w:rsidR="00F53E7A" w:rsidRPr="00CC458D" w:rsidRDefault="00F53E7A" w:rsidP="00F53E7A">
      <w:pPr>
        <w:widowControl/>
        <w:shd w:val="clear" w:color="auto" w:fill="F6F6F6"/>
        <w:spacing w:before="100" w:beforeAutospacing="1" w:after="100" w:afterAutospacing="1"/>
        <w:ind w:firstLineChars="100" w:firstLine="211"/>
        <w:contextualSpacing/>
        <w:jc w:val="left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/>
          <w:b/>
          <w:bCs/>
          <w:color w:val="000000"/>
          <w:kern w:val="0"/>
          <w:szCs w:val="21"/>
        </w:rPr>
        <w:t>3、</w:t>
      </w: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开题报告，10%</w:t>
      </w:r>
    </w:p>
    <w:p w:rsidR="00F53E7A" w:rsidRPr="00CC458D" w:rsidRDefault="00F53E7A" w:rsidP="00F53E7A">
      <w:pPr>
        <w:widowControl/>
        <w:shd w:val="clear" w:color="auto" w:fill="F6F6F6"/>
        <w:spacing w:before="100" w:beforeAutospacing="1" w:after="100" w:afterAutospacing="1"/>
        <w:ind w:firstLineChars="100" w:firstLine="211"/>
        <w:contextualSpacing/>
        <w:jc w:val="left"/>
        <w:rPr>
          <w:rFonts w:ascii="楷体" w:eastAsia="楷体" w:hAnsi="楷体" w:cs="Times New Roman"/>
          <w:b/>
          <w:bCs/>
          <w:color w:val="000000"/>
          <w:kern w:val="0"/>
          <w:szCs w:val="21"/>
        </w:rPr>
      </w:pPr>
      <w:r w:rsidRPr="00CC458D">
        <w:rPr>
          <w:rFonts w:ascii="楷体" w:eastAsia="楷体" w:hAnsi="楷体" w:cs="Times New Roman"/>
          <w:b/>
          <w:bCs/>
          <w:color w:val="000000"/>
          <w:kern w:val="0"/>
          <w:szCs w:val="21"/>
        </w:rPr>
        <w:t>4、</w:t>
      </w:r>
      <w:r w:rsidRPr="00CC458D">
        <w:rPr>
          <w:rFonts w:ascii="楷体" w:eastAsia="楷体" w:hAnsi="楷体" w:cs="Times New Roman" w:hint="eastAsia"/>
          <w:b/>
          <w:bCs/>
          <w:color w:val="000000"/>
          <w:kern w:val="0"/>
          <w:szCs w:val="21"/>
        </w:rPr>
        <w:t>论文撰写，40%</w:t>
      </w:r>
    </w:p>
    <w:p w:rsidR="006F70BE" w:rsidRDefault="006F70BE"/>
    <w:sectPr w:rsidR="006F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7A7"/>
    <w:multiLevelType w:val="hybridMultilevel"/>
    <w:tmpl w:val="E7289714"/>
    <w:lvl w:ilvl="0" w:tplc="FC8075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36AC8"/>
    <w:multiLevelType w:val="hybridMultilevel"/>
    <w:tmpl w:val="CFE87664"/>
    <w:lvl w:ilvl="0" w:tplc="9198DA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C0D4F"/>
    <w:multiLevelType w:val="hybridMultilevel"/>
    <w:tmpl w:val="FFCE4764"/>
    <w:lvl w:ilvl="0" w:tplc="3390A35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7A"/>
    <w:rsid w:val="006F70BE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>HNU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向江</dc:creator>
  <cp:lastModifiedBy>向江</cp:lastModifiedBy>
  <cp:revision>1</cp:revision>
  <dcterms:created xsi:type="dcterms:W3CDTF">2016-07-17T02:38:00Z</dcterms:created>
  <dcterms:modified xsi:type="dcterms:W3CDTF">2016-07-17T02:39:00Z</dcterms:modified>
</cp:coreProperties>
</file>